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jc w:val="center"/>
        <w:rPr>
          <w:rFonts w:hint="eastAsia" w:ascii="宋体" w:hAnsi="宋体" w:cs="宋体"/>
        </w:rPr>
      </w:pPr>
      <w:bookmarkStart w:id="0" w:name="_Toc44229895"/>
      <w:r>
        <w:rPr>
          <w:rFonts w:hint="eastAsia" w:ascii="宋体" w:hAnsi="宋体" w:cs="宋体"/>
        </w:rPr>
        <w:t>采购需求</w:t>
      </w:r>
      <w:bookmarkEnd w:id="0"/>
    </w:p>
    <w:p>
      <w:pPr>
        <w:spacing w:line="440" w:lineRule="exact"/>
        <w:jc w:val="center"/>
        <w:rPr>
          <w:rFonts w:hint="eastAsia" w:ascii="宋体" w:hAnsi="宋体" w:cs="宋体"/>
          <w:b/>
          <w:sz w:val="32"/>
          <w:szCs w:val="32"/>
        </w:rPr>
      </w:pPr>
      <w:r>
        <w:rPr>
          <w:rFonts w:hint="eastAsia" w:ascii="宋体" w:hAnsi="宋体" w:cs="宋体"/>
          <w:b/>
          <w:sz w:val="32"/>
          <w:szCs w:val="32"/>
        </w:rPr>
        <w:t>采购项目技术规格、参数及要求</w:t>
      </w:r>
    </w:p>
    <w:p>
      <w:pPr>
        <w:spacing w:line="440" w:lineRule="exact"/>
        <w:jc w:val="left"/>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说明：</w:t>
      </w:r>
    </w:p>
    <w:p>
      <w:pPr>
        <w:spacing w:line="360" w:lineRule="auto"/>
        <w:ind w:firstLine="409" w:firstLineChars="195"/>
        <w:rPr>
          <w:rFonts w:hint="eastAsia" w:ascii="宋体" w:hAnsi="宋体" w:cs="宋体"/>
        </w:rPr>
      </w:pPr>
      <w:r>
        <w:rPr>
          <w:rFonts w:hint="eastAsia" w:ascii="宋体" w:hAnsi="宋体" w:cs="宋体"/>
          <w:szCs w:val="21"/>
        </w:rPr>
        <w:t>1、供应商应对磋商内容所涉及的专利承担法律责任，并负责保护业主的利益不受任何损害。一切由于文字、商标、技术和软件专利授权引起的法律裁决、诉讼和赔偿费用均由成交供应商负责。</w:t>
      </w:r>
      <w:r>
        <w:rPr>
          <w:rFonts w:hint="eastAsia" w:ascii="宋体" w:hAnsi="宋体" w:cs="宋体"/>
        </w:rPr>
        <w:t>同时，具有产品专利的供应商应在其响应文件中提供与其自有产品专利相关的有效证明材料，否则，不能就其产品的专利在本项目磋商过程中被侵权问题而提出异议。</w:t>
      </w:r>
    </w:p>
    <w:p>
      <w:pPr>
        <w:spacing w:line="360" w:lineRule="auto"/>
        <w:rPr>
          <w:rFonts w:hint="eastAsia" w:ascii="宋体" w:hAnsi="宋体" w:cs="宋体"/>
          <w:szCs w:val="21"/>
        </w:rPr>
      </w:pPr>
      <w:r>
        <w:rPr>
          <w:rFonts w:hint="eastAsia" w:ascii="宋体" w:hAnsi="宋体" w:cs="宋体"/>
          <w:szCs w:val="21"/>
        </w:rPr>
        <w:t xml:space="preserve">    2、供应商应注意下列内容：</w:t>
      </w:r>
    </w:p>
    <w:p>
      <w:pPr>
        <w:spacing w:line="360" w:lineRule="auto"/>
        <w:ind w:firstLine="420" w:firstLineChars="200"/>
        <w:jc w:val="left"/>
        <w:rPr>
          <w:rFonts w:hint="eastAsia" w:ascii="宋体" w:hAnsi="宋体" w:cs="宋体"/>
          <w:szCs w:val="21"/>
        </w:rPr>
      </w:pPr>
      <w:r>
        <w:rPr>
          <w:rFonts w:hint="eastAsia" w:ascii="宋体" w:hAnsi="宋体" w:cs="宋体"/>
          <w:szCs w:val="21"/>
        </w:rPr>
        <w:t>（1）竞争性磋商文件中带“▲</w:t>
      </w:r>
      <w:r>
        <w:rPr>
          <w:rFonts w:hint="eastAsia" w:ascii="宋体" w:hAnsi="宋体" w:cs="宋体"/>
          <w:kern w:val="0"/>
        </w:rPr>
        <w:t>”</w:t>
      </w:r>
      <w:r>
        <w:rPr>
          <w:rFonts w:hint="eastAsia" w:ascii="宋体" w:hAnsi="宋体" w:cs="宋体"/>
          <w:szCs w:val="21"/>
        </w:rPr>
        <w:t>的条款为本次采购的实质性的商务、技术或服务要求，供应商须满足或响应，若无法完全满足，将会被认定为磋商无效。</w:t>
      </w:r>
    </w:p>
    <w:p>
      <w:pPr>
        <w:tabs>
          <w:tab w:val="left" w:pos="180"/>
          <w:tab w:val="left" w:pos="1620"/>
        </w:tabs>
        <w:spacing w:line="360" w:lineRule="auto"/>
        <w:ind w:firstLine="420" w:firstLineChars="200"/>
        <w:rPr>
          <w:rFonts w:hint="eastAsia" w:ascii="宋体" w:hAnsi="宋体" w:cs="宋体"/>
          <w:b/>
          <w:bCs/>
          <w:szCs w:val="21"/>
        </w:rPr>
      </w:pPr>
      <w:r>
        <w:rPr>
          <w:rFonts w:hint="eastAsia" w:ascii="宋体" w:hAnsi="宋体" w:cs="宋体"/>
          <w:szCs w:val="21"/>
        </w:rPr>
        <w:t>（2）供应商须在响应文件中填写/应答服务技术要求，当响应文件中服务技术要求与竞争性磋商文件中服务技术要求有偏离时，须在“偏离”栏内如实注明是“正偏离”或“负偏离”，“正偏离”指磋商服务技术要求优于竞争性磋商文件中要求，“负偏离”指磋商服务技术要求低于竞争性磋商文件中要求。响应文件中的服务技术要求或其它内容有“正偏离”的，供应商须对“正偏离”的情况单独作出说明。</w:t>
      </w:r>
    </w:p>
    <w:p>
      <w:pPr>
        <w:tabs>
          <w:tab w:val="left" w:pos="180"/>
          <w:tab w:val="left" w:pos="1620"/>
        </w:tabs>
        <w:spacing w:line="360" w:lineRule="auto"/>
        <w:ind w:firstLine="422" w:firstLineChars="200"/>
        <w:rPr>
          <w:rFonts w:hint="eastAsia" w:ascii="宋体" w:hAnsi="宋体" w:cs="宋体"/>
          <w:b/>
          <w:bCs/>
          <w:szCs w:val="21"/>
        </w:rPr>
      </w:pPr>
      <w:r>
        <w:rPr>
          <w:rFonts w:hint="eastAsia" w:ascii="宋体" w:hAnsi="宋体" w:cs="宋体"/>
          <w:b/>
          <w:bCs/>
          <w:szCs w:val="21"/>
        </w:rPr>
        <w:t>采购预算：详见竞争性磋商公告</w:t>
      </w:r>
    </w:p>
    <w:tbl>
      <w:tblPr>
        <w:tblStyle w:val="8"/>
        <w:tblpPr w:leftFromText="180" w:rightFromText="180" w:vertAnchor="text" w:tblpY="1"/>
        <w:tblOverlap w:val="never"/>
        <w:tblW w:w="8887" w:type="dxa"/>
        <w:tblInd w:w="0" w:type="dxa"/>
        <w:tblLayout w:type="fixed"/>
        <w:tblCellMar>
          <w:top w:w="0" w:type="dxa"/>
          <w:left w:w="108" w:type="dxa"/>
          <w:bottom w:w="0" w:type="dxa"/>
          <w:right w:w="108" w:type="dxa"/>
        </w:tblCellMar>
      </w:tblPr>
      <w:tblGrid>
        <w:gridCol w:w="613"/>
        <w:gridCol w:w="1124"/>
        <w:gridCol w:w="38"/>
        <w:gridCol w:w="625"/>
        <w:gridCol w:w="500"/>
        <w:gridCol w:w="5987"/>
      </w:tblGrid>
      <w:tr>
        <w:tblPrEx>
          <w:tblLayout w:type="fixed"/>
          <w:tblCellMar>
            <w:top w:w="0" w:type="dxa"/>
            <w:left w:w="108" w:type="dxa"/>
            <w:bottom w:w="0" w:type="dxa"/>
            <w:right w:w="108" w:type="dxa"/>
          </w:tblCellMar>
        </w:tblPrEx>
        <w:trPr>
          <w:trHeight w:val="20" w:hRule="atLeast"/>
        </w:trPr>
        <w:tc>
          <w:tcPr>
            <w:tcW w:w="888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cs="宋体"/>
                <w:b/>
                <w:bCs/>
                <w:kern w:val="0"/>
                <w:szCs w:val="21"/>
              </w:rPr>
            </w:pPr>
            <w:r>
              <w:rPr>
                <w:rFonts w:hint="eastAsia" w:ascii="宋体" w:hAnsi="宋体" w:cs="宋体"/>
                <w:b/>
                <w:bCs/>
                <w:kern w:val="0"/>
                <w:szCs w:val="21"/>
              </w:rPr>
              <w:t>一、采购项目需求一览表</w:t>
            </w:r>
          </w:p>
        </w:tc>
      </w:tr>
      <w:tr>
        <w:tblPrEx>
          <w:tblLayout w:type="fixed"/>
          <w:tblCellMar>
            <w:top w:w="0" w:type="dxa"/>
            <w:left w:w="108" w:type="dxa"/>
            <w:bottom w:w="0" w:type="dxa"/>
            <w:right w:w="108" w:type="dxa"/>
          </w:tblCellMar>
        </w:tblPrEx>
        <w:trPr>
          <w:trHeight w:val="20"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kern w:val="0"/>
                <w:szCs w:val="21"/>
              </w:rPr>
            </w:pPr>
            <w:r>
              <w:rPr>
                <w:rFonts w:hint="eastAsia" w:ascii="宋体" w:hAnsi="宋体" w:cs="宋体"/>
                <w:b/>
                <w:bCs/>
                <w:kern w:val="0"/>
                <w:szCs w:val="21"/>
              </w:rPr>
              <w:t>序号</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kern w:val="0"/>
                <w:szCs w:val="21"/>
              </w:rPr>
            </w:pPr>
            <w:r>
              <w:rPr>
                <w:rFonts w:hint="eastAsia" w:ascii="宋体" w:hAnsi="宋体" w:cs="宋体"/>
                <w:b/>
                <w:bCs/>
                <w:kern w:val="0"/>
                <w:szCs w:val="21"/>
              </w:rPr>
              <w:t>服务名称</w:t>
            </w:r>
          </w:p>
        </w:tc>
        <w:tc>
          <w:tcPr>
            <w:tcW w:w="6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kern w:val="0"/>
                <w:szCs w:val="21"/>
              </w:rPr>
            </w:pPr>
            <w:r>
              <w:rPr>
                <w:rFonts w:hint="eastAsia" w:ascii="宋体" w:hAnsi="宋体" w:cs="宋体"/>
                <w:b/>
                <w:bCs/>
                <w:kern w:val="0"/>
                <w:szCs w:val="21"/>
              </w:rPr>
              <w:t>数量</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kern w:val="0"/>
                <w:szCs w:val="21"/>
              </w:rPr>
            </w:pPr>
            <w:r>
              <w:rPr>
                <w:rFonts w:hint="eastAsia" w:ascii="宋体" w:hAnsi="宋体" w:cs="宋体"/>
                <w:b/>
                <w:bCs/>
                <w:kern w:val="0"/>
                <w:szCs w:val="21"/>
              </w:rPr>
              <w:t>单位</w:t>
            </w:r>
          </w:p>
        </w:tc>
        <w:tc>
          <w:tcPr>
            <w:tcW w:w="598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kern w:val="0"/>
                <w:szCs w:val="21"/>
              </w:rPr>
            </w:pPr>
            <w:r>
              <w:rPr>
                <w:rFonts w:hint="eastAsia" w:ascii="宋体" w:hAnsi="宋体" w:cs="宋体"/>
                <w:b/>
                <w:bCs/>
                <w:kern w:val="0"/>
                <w:szCs w:val="21"/>
              </w:rPr>
              <w:t>技术参数要求</w:t>
            </w:r>
          </w:p>
        </w:tc>
      </w:tr>
      <w:tr>
        <w:tblPrEx>
          <w:tblLayout w:type="fixed"/>
          <w:tblCellMar>
            <w:top w:w="0" w:type="dxa"/>
            <w:left w:w="108" w:type="dxa"/>
            <w:bottom w:w="0" w:type="dxa"/>
            <w:right w:w="108" w:type="dxa"/>
          </w:tblCellMar>
        </w:tblPrEx>
        <w:trPr>
          <w:trHeight w:val="90"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1</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bottom"/>
              <w:rPr>
                <w:rFonts w:hint="eastAsia" w:ascii="宋体" w:hAnsi="宋体" w:cs="宋体"/>
                <w:szCs w:val="21"/>
              </w:rPr>
            </w:pPr>
            <w:r>
              <w:rPr>
                <w:rFonts w:hint="eastAsia" w:ascii="宋体" w:hAnsi="宋体" w:cs="宋体"/>
                <w:color w:val="333333"/>
                <w:kern w:val="0"/>
                <w:szCs w:val="21"/>
                <w:lang w:bidi="ar"/>
              </w:rPr>
              <w:t>反走私舆情信息监测平台</w:t>
            </w:r>
          </w:p>
        </w:tc>
        <w:tc>
          <w:tcPr>
            <w:tcW w:w="6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1</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项</w:t>
            </w:r>
          </w:p>
        </w:tc>
        <w:tc>
          <w:tcPr>
            <w:tcW w:w="5987" w:type="dxa"/>
            <w:tcBorders>
              <w:top w:val="single" w:color="auto" w:sz="4" w:space="0"/>
              <w:left w:val="single" w:color="auto" w:sz="4" w:space="0"/>
              <w:bottom w:val="single" w:color="auto" w:sz="4" w:space="0"/>
              <w:right w:val="single" w:color="auto" w:sz="4" w:space="0"/>
            </w:tcBorders>
            <w:noWrap w:val="0"/>
            <w:vAlign w:val="bottom"/>
          </w:tcPr>
          <w:p>
            <w:pPr>
              <w:spacing w:line="288" w:lineRule="auto"/>
              <w:textAlignment w:val="baseline"/>
              <w:rPr>
                <w:rFonts w:hint="eastAsia" w:ascii="宋体" w:hAnsi="宋体" w:cs="宋体"/>
                <w:b/>
                <w:color w:val="000000"/>
                <w:kern w:val="0"/>
                <w:szCs w:val="21"/>
              </w:rPr>
            </w:pPr>
            <w:r>
              <w:rPr>
                <w:rFonts w:hint="eastAsia" w:ascii="宋体" w:hAnsi="宋体" w:cs="宋体"/>
                <w:b/>
                <w:color w:val="000000"/>
                <w:kern w:val="0"/>
                <w:szCs w:val="21"/>
              </w:rPr>
              <w:t>一、技术服务：</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1.服务方搭建舆情大数据监测平台，采集范围包括报刊、电视、广播、网站、论坛、博客、微博、微信公众号、贴吧等信息，过滤无效数据，采集频率最快需达到分钟级，可实现7×24小时不间断响应采购方要求。</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2.采集范围：网站站点数量不少于20000个，论坛不少于2000个，不少于1000份电子报刊（数字报）；主流微博的趋势指标相关数据，如转发、评论、点赞等，不少于50个主流新闻客户端以及不少600万个微信公众号，采集的信息源可随时根据需要不断扩充。</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3.服务方具备针对数据的搜索采集、存储索引、智能处理、信息检索、统计和展示引擎等能力。</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4.服务方投标商品具备网页端、手机ISO版和安卓版等多种展现形式。</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5.服务方能够采集网页中的标题、作者、来源、日期时间、摘要、发布人、发布链接等原数据信息，并对内容进行存储和保留。</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6.服务方能够按照采购方要求，按转载量、时间排序等展示结果将数据进行归类，并统计相似新闻数量，方便采购方查阅和浏览每条数据。</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7.服务方具备对数据按数量、媒体、对比、走势等智能图表分析的能力。</w:t>
            </w:r>
          </w:p>
          <w:p>
            <w:pPr>
              <w:pStyle w:val="5"/>
              <w:spacing w:line="288" w:lineRule="auto"/>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8.服务方需具备对正负面信息进行语义分析，实现对信息属性进行判断的能力。</w:t>
            </w:r>
          </w:p>
          <w:p>
            <w:pPr>
              <w:pStyle w:val="5"/>
              <w:spacing w:line="288" w:lineRule="auto"/>
              <w:jc w:val="left"/>
              <w:rPr>
                <w:rFonts w:hint="eastAsia" w:ascii="宋体" w:hAnsi="宋体" w:eastAsia="宋体" w:cs="宋体"/>
                <w:color w:val="000000"/>
                <w:sz w:val="21"/>
                <w:szCs w:val="21"/>
              </w:rPr>
            </w:pPr>
          </w:p>
          <w:p>
            <w:pPr>
              <w:spacing w:line="288" w:lineRule="auto"/>
              <w:textAlignment w:val="baseline"/>
              <w:rPr>
                <w:rFonts w:hint="eastAsia" w:ascii="宋体" w:hAnsi="宋体" w:cs="宋体"/>
                <w:b/>
                <w:color w:val="000000"/>
                <w:kern w:val="0"/>
                <w:szCs w:val="21"/>
              </w:rPr>
            </w:pPr>
            <w:r>
              <w:rPr>
                <w:rFonts w:hint="eastAsia" w:ascii="宋体" w:hAnsi="宋体" w:cs="宋体"/>
                <w:kern w:val="0"/>
                <w:szCs w:val="21"/>
              </w:rPr>
              <w:t>二、</w:t>
            </w:r>
            <w:r>
              <w:rPr>
                <w:rFonts w:hint="eastAsia" w:ascii="宋体" w:hAnsi="宋体" w:cs="宋体"/>
                <w:b/>
                <w:color w:val="000000"/>
                <w:kern w:val="0"/>
                <w:szCs w:val="21"/>
              </w:rPr>
              <w:t>舆情信息采集内容</w:t>
            </w:r>
          </w:p>
          <w:p>
            <w:pPr>
              <w:spacing w:line="288" w:lineRule="auto"/>
              <w:textAlignment w:val="baseline"/>
              <w:rPr>
                <w:rFonts w:hint="eastAsia" w:ascii="宋体" w:hAnsi="宋体" w:cs="宋体"/>
                <w:color w:val="000000"/>
                <w:kern w:val="0"/>
                <w:szCs w:val="21"/>
              </w:rPr>
            </w:pPr>
            <w:r>
              <w:rPr>
                <w:rFonts w:hint="eastAsia" w:ascii="宋体" w:hAnsi="宋体" w:cs="宋体"/>
                <w:bCs/>
                <w:color w:val="000000"/>
                <w:kern w:val="0"/>
                <w:szCs w:val="21"/>
              </w:rPr>
              <w:t>（1）</w:t>
            </w:r>
            <w:r>
              <w:rPr>
                <w:rFonts w:hint="eastAsia" w:ascii="宋体" w:hAnsi="宋体" w:cs="宋体"/>
                <w:color w:val="000000"/>
                <w:kern w:val="0"/>
                <w:szCs w:val="21"/>
              </w:rPr>
              <w:t>通过对国内主流媒体（包括平面媒体、新闻网站、博客/论坛/贴吧、微博博主、国内主流新闻APP）7X24进行实时监测采集，掌握各种新闻媒体对采购人关注的报道和评论；</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（2）可通过设置关键词进行精准采集监测，</w:t>
            </w:r>
            <w:bookmarkStart w:id="1" w:name="OLE_LINK48"/>
            <w:bookmarkStart w:id="2" w:name="OLE_LINK47"/>
            <w:bookmarkStart w:id="3" w:name="OLE_LINK49"/>
            <w:r>
              <w:rPr>
                <w:rFonts w:hint="eastAsia" w:ascii="宋体" w:hAnsi="宋体" w:cs="宋体"/>
                <w:color w:val="000000"/>
                <w:kern w:val="0"/>
                <w:szCs w:val="21"/>
              </w:rPr>
              <w:t>监测</w:t>
            </w:r>
            <w:bookmarkEnd w:id="1"/>
            <w:bookmarkEnd w:id="2"/>
            <w:bookmarkEnd w:id="3"/>
            <w:r>
              <w:rPr>
                <w:rFonts w:hint="eastAsia" w:ascii="宋体" w:hAnsi="宋体" w:cs="宋体"/>
                <w:color w:val="000000"/>
                <w:kern w:val="0"/>
                <w:szCs w:val="21"/>
              </w:rPr>
              <w:t>的关键词可根据采购人实际需要随时进行调整；通过抓取信息和敏感词库信息的对比，将涉及所有敏感和负面信息集中、实时展现；汇聚相关行业分类信息的最新资讯，帮助了解境内相关行业发展动向，提供决策参考。</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（3）重点监测：对相关舆情信息进行全面监测、集中展示，监测重点关注人物的网媒、纸媒、论坛、博客及微博情况。</w:t>
            </w:r>
          </w:p>
          <w:p>
            <w:pPr>
              <w:pStyle w:val="5"/>
              <w:spacing w:line="288" w:lineRule="auto"/>
              <w:ind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（4）统计分析：提供平台全部舆情信息的定量统计，按照时间、媒体转发量等元素统计分析舆情信息，并以饼图、柱状图、折线走势图等方式展现近期的舆情趋势。</w:t>
            </w:r>
          </w:p>
        </w:tc>
      </w:tr>
      <w:tr>
        <w:tblPrEx>
          <w:tblLayout w:type="fixed"/>
          <w:tblCellMar>
            <w:top w:w="0" w:type="dxa"/>
            <w:left w:w="108" w:type="dxa"/>
            <w:bottom w:w="0" w:type="dxa"/>
            <w:right w:w="108" w:type="dxa"/>
          </w:tblCellMar>
        </w:tblPrEx>
        <w:trPr>
          <w:trHeight w:val="20"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2</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反走私舆情分析服务</w:t>
            </w:r>
          </w:p>
        </w:tc>
        <w:tc>
          <w:tcPr>
            <w:tcW w:w="6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1</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szCs w:val="21"/>
              </w:rPr>
            </w:pPr>
            <w:r>
              <w:rPr>
                <w:rFonts w:hint="eastAsia" w:ascii="宋体" w:hAnsi="宋体" w:cs="宋体"/>
                <w:color w:val="000000"/>
                <w:kern w:val="0"/>
                <w:szCs w:val="21"/>
                <w:lang w:bidi="ar"/>
              </w:rPr>
              <w:t>项</w:t>
            </w:r>
          </w:p>
        </w:tc>
        <w:tc>
          <w:tcPr>
            <w:tcW w:w="5987" w:type="dxa"/>
            <w:tcBorders>
              <w:top w:val="single" w:color="auto" w:sz="4" w:space="0"/>
              <w:left w:val="single" w:color="auto" w:sz="4" w:space="0"/>
              <w:bottom w:val="single" w:color="auto" w:sz="4" w:space="0"/>
              <w:right w:val="single" w:color="auto" w:sz="4" w:space="0"/>
            </w:tcBorders>
            <w:noWrap w:val="0"/>
            <w:vAlign w:val="bottom"/>
          </w:tcPr>
          <w:p>
            <w:pPr>
              <w:spacing w:line="288" w:lineRule="auto"/>
              <w:textAlignment w:val="baseline"/>
              <w:rPr>
                <w:rFonts w:hint="eastAsia" w:ascii="宋体" w:hAnsi="宋体" w:cs="宋体"/>
                <w:b/>
                <w:bCs/>
                <w:szCs w:val="21"/>
              </w:rPr>
            </w:pPr>
            <w:r>
              <w:rPr>
                <w:rFonts w:hint="eastAsia" w:ascii="宋体" w:hAnsi="宋体" w:cs="宋体"/>
                <w:b/>
                <w:bCs/>
                <w:szCs w:val="21"/>
              </w:rPr>
              <w:t>一、舆情报告服务</w:t>
            </w:r>
          </w:p>
          <w:p>
            <w:pPr>
              <w:spacing w:line="288" w:lineRule="auto"/>
              <w:textAlignment w:val="baseline"/>
              <w:rPr>
                <w:rFonts w:hint="eastAsia" w:ascii="宋体" w:hAnsi="宋体" w:cs="宋体"/>
                <w:szCs w:val="21"/>
              </w:rPr>
            </w:pPr>
            <w:r>
              <w:rPr>
                <w:rFonts w:hint="eastAsia" w:ascii="宋体" w:hAnsi="宋体" w:cs="宋体"/>
                <w:szCs w:val="21"/>
              </w:rPr>
              <w:t>（1）在抓取数据的基础上，每月对产生的舆情信息进行归纳，盘点重要舆情事件，帮助采购人了解整体舆情态势。投标方具有较高的舆情汇总分析能力，有专业的舆情工作团队，能够为采购人提供高水准的舆情分析报告。</w:t>
            </w:r>
          </w:p>
          <w:p>
            <w:pPr>
              <w:spacing w:line="288" w:lineRule="auto"/>
              <w:textAlignment w:val="baseline"/>
              <w:rPr>
                <w:rFonts w:hint="eastAsia" w:ascii="宋体" w:hAnsi="宋体" w:cs="宋体"/>
                <w:szCs w:val="21"/>
              </w:rPr>
            </w:pPr>
            <w:r>
              <w:rPr>
                <w:rFonts w:hint="eastAsia" w:ascii="宋体" w:hAnsi="宋体" w:cs="宋体"/>
                <w:szCs w:val="21"/>
              </w:rPr>
              <w:t>（2）舆情年报服务：每年对产生的舆情信息进行归纳，盘点重要舆情事件，提供高水准的舆情分析年度报告，帮助采购人了解全年舆情状况。</w:t>
            </w:r>
          </w:p>
          <w:p>
            <w:pPr>
              <w:spacing w:line="288" w:lineRule="auto"/>
              <w:textAlignment w:val="baseline"/>
              <w:rPr>
                <w:rFonts w:hint="eastAsia" w:ascii="宋体" w:hAnsi="宋体" w:cs="宋体"/>
                <w:szCs w:val="21"/>
              </w:rPr>
            </w:pPr>
            <w:r>
              <w:rPr>
                <w:rFonts w:hint="eastAsia" w:ascii="宋体" w:hAnsi="宋体" w:cs="宋体"/>
                <w:szCs w:val="21"/>
              </w:rPr>
              <w:t>（3）舆情专项报告：就发生的热点/突发/政策性事件进行归类总结、现状分析、趋势研判，梳理网民意见和专家建议，借鉴域外经验，全面呈现该事件的发展状况、面临问题和可行性建议。</w:t>
            </w:r>
          </w:p>
          <w:p>
            <w:pPr>
              <w:widowControl/>
              <w:spacing w:line="288" w:lineRule="auto"/>
              <w:jc w:val="left"/>
              <w:textAlignment w:val="bottom"/>
              <w:rPr>
                <w:rFonts w:hint="eastAsia" w:ascii="宋体" w:hAnsi="宋体" w:cs="宋体"/>
                <w:szCs w:val="21"/>
              </w:rPr>
            </w:pPr>
            <w:r>
              <w:rPr>
                <w:rFonts w:hint="eastAsia" w:ascii="宋体" w:hAnsi="宋体" w:cs="宋体"/>
                <w:szCs w:val="21"/>
              </w:rPr>
              <w:t>（4）安排专业舆情应对工作人员1名进行驻点服务。</w:t>
            </w:r>
          </w:p>
          <w:p>
            <w:pPr>
              <w:spacing w:line="288" w:lineRule="auto"/>
              <w:textAlignment w:val="baseline"/>
              <w:rPr>
                <w:rFonts w:hint="eastAsia" w:ascii="宋体" w:hAnsi="宋体" w:cs="宋体"/>
                <w:b/>
                <w:color w:val="000000"/>
                <w:kern w:val="0"/>
                <w:szCs w:val="21"/>
              </w:rPr>
            </w:pPr>
          </w:p>
          <w:p>
            <w:pPr>
              <w:spacing w:line="288" w:lineRule="auto"/>
              <w:textAlignment w:val="baseline"/>
              <w:rPr>
                <w:rFonts w:hint="eastAsia" w:ascii="宋体" w:hAnsi="宋体" w:cs="宋体"/>
                <w:b/>
                <w:color w:val="000000"/>
                <w:kern w:val="0"/>
                <w:szCs w:val="21"/>
              </w:rPr>
            </w:pPr>
            <w:r>
              <w:rPr>
                <w:rFonts w:hint="eastAsia" w:ascii="宋体" w:hAnsi="宋体" w:cs="宋体"/>
                <w:b/>
                <w:color w:val="000000"/>
                <w:kern w:val="0"/>
                <w:szCs w:val="21"/>
              </w:rPr>
              <w:t>二、舆情预警服务</w:t>
            </w:r>
          </w:p>
          <w:p>
            <w:pPr>
              <w:spacing w:line="288" w:lineRule="auto"/>
              <w:ind w:firstLine="420" w:firstLineChars="200"/>
              <w:textAlignment w:val="baseline"/>
              <w:rPr>
                <w:rFonts w:hint="eastAsia" w:ascii="宋体" w:hAnsi="宋体" w:cs="宋体"/>
                <w:bCs/>
                <w:color w:val="000000"/>
                <w:kern w:val="0"/>
                <w:szCs w:val="21"/>
              </w:rPr>
            </w:pPr>
            <w:r>
              <w:rPr>
                <w:rFonts w:hint="eastAsia" w:ascii="宋体" w:hAnsi="宋体" w:cs="宋体"/>
                <w:bCs/>
                <w:color w:val="000000"/>
                <w:kern w:val="0"/>
                <w:szCs w:val="21"/>
              </w:rPr>
              <w:t>实时扫描全国性、行业性和区域性重点网站，通过系统过滤、人工甄别等手段，及时获取关注的热点信息、敏感信息和倾向性信息，并实施预警。</w:t>
            </w:r>
          </w:p>
          <w:p>
            <w:pPr>
              <w:spacing w:line="288" w:lineRule="auto"/>
              <w:textAlignment w:val="baseline"/>
              <w:rPr>
                <w:rFonts w:hint="eastAsia" w:ascii="宋体" w:hAnsi="宋体" w:cs="宋体"/>
                <w:bCs/>
                <w:color w:val="000000"/>
                <w:kern w:val="0"/>
                <w:szCs w:val="21"/>
              </w:rPr>
            </w:pPr>
            <w:r>
              <w:rPr>
                <w:rFonts w:hint="eastAsia" w:ascii="宋体" w:hAnsi="宋体" w:cs="宋体"/>
                <w:bCs/>
                <w:color w:val="000000"/>
                <w:kern w:val="0"/>
                <w:szCs w:val="21"/>
              </w:rPr>
              <w:t>（1）系统自动预警：通过平台内网页端和手机客户端软件，可随时随地查看舆情数据，接收舆情预警，提供全年24小时不间断服务。</w:t>
            </w:r>
          </w:p>
          <w:p>
            <w:pPr>
              <w:pStyle w:val="2"/>
              <w:spacing w:line="288" w:lineRule="auto"/>
              <w:ind w:firstLine="0"/>
              <w:rPr>
                <w:rFonts w:hint="eastAsia" w:ascii="宋体" w:hAnsi="宋体" w:cs="宋体"/>
                <w:bCs/>
                <w:color w:val="000000"/>
                <w:kern w:val="0"/>
                <w:szCs w:val="21"/>
              </w:rPr>
            </w:pPr>
            <w:r>
              <w:rPr>
                <w:rFonts w:hint="eastAsia" w:ascii="宋体" w:hAnsi="宋体" w:cs="宋体"/>
                <w:bCs/>
                <w:color w:val="000000"/>
                <w:kern w:val="0"/>
                <w:szCs w:val="21"/>
              </w:rPr>
              <w:t>（2）人工预警：具备 7×24 小时的人工预警服务机制，协助采购人建立舆情危机预警流程。预警方式为：电话、手机短信、邮件、QQ、微信等方式。</w:t>
            </w:r>
          </w:p>
          <w:p>
            <w:pPr>
              <w:pStyle w:val="2"/>
              <w:spacing w:line="288" w:lineRule="auto"/>
              <w:rPr>
                <w:rFonts w:hint="eastAsia" w:ascii="宋体" w:hAnsi="宋体" w:cs="宋体"/>
                <w:bCs/>
                <w:color w:val="000000"/>
                <w:kern w:val="0"/>
                <w:szCs w:val="21"/>
              </w:rPr>
            </w:pPr>
          </w:p>
          <w:p>
            <w:pPr>
              <w:spacing w:line="288" w:lineRule="auto"/>
              <w:textAlignment w:val="baseline"/>
              <w:rPr>
                <w:rFonts w:hint="eastAsia" w:ascii="宋体" w:hAnsi="宋体" w:cs="宋体"/>
                <w:b/>
                <w:color w:val="000000"/>
                <w:kern w:val="0"/>
                <w:szCs w:val="21"/>
              </w:rPr>
            </w:pPr>
            <w:r>
              <w:rPr>
                <w:rFonts w:hint="eastAsia" w:ascii="宋体" w:hAnsi="宋体" w:cs="宋体"/>
                <w:b/>
                <w:color w:val="000000"/>
                <w:kern w:val="0"/>
                <w:szCs w:val="21"/>
              </w:rPr>
              <w:t>三、其他服务</w:t>
            </w:r>
          </w:p>
          <w:p>
            <w:pPr>
              <w:spacing w:line="288" w:lineRule="auto"/>
              <w:textAlignment w:val="baseline"/>
              <w:rPr>
                <w:rFonts w:hint="eastAsia" w:ascii="宋体" w:hAnsi="宋体" w:cs="宋体"/>
                <w:color w:val="000000"/>
                <w:kern w:val="0"/>
                <w:szCs w:val="21"/>
              </w:rPr>
            </w:pPr>
            <w:r>
              <w:rPr>
                <w:rFonts w:hint="eastAsia" w:ascii="宋体" w:hAnsi="宋体" w:cs="宋体"/>
                <w:color w:val="000000"/>
                <w:kern w:val="0"/>
                <w:szCs w:val="21"/>
              </w:rPr>
              <w:t>（1）危机管理服务：包括危机事件及敏感时间段重点监测管理，根据危机事件舆情发展态势和需求，必要时可以提供24小时人工实时监测和即时分析报告，为采购方提供处置建议和舆情研判，直至舆情消退。</w:t>
            </w:r>
          </w:p>
          <w:p>
            <w:pPr>
              <w:pStyle w:val="2"/>
              <w:spacing w:line="288" w:lineRule="auto"/>
              <w:ind w:firstLine="0"/>
              <w:rPr>
                <w:rFonts w:hint="eastAsia" w:ascii="宋体" w:hAnsi="宋体" w:cs="宋体"/>
                <w:bCs/>
                <w:color w:val="000000"/>
                <w:kern w:val="0"/>
                <w:szCs w:val="21"/>
              </w:rPr>
            </w:pPr>
            <w:r>
              <w:rPr>
                <w:rFonts w:hint="eastAsia" w:ascii="宋体" w:hAnsi="宋体" w:cs="宋体"/>
                <w:color w:val="000000"/>
                <w:kern w:val="0"/>
                <w:szCs w:val="21"/>
              </w:rPr>
              <w:t>（2）手机客户端服务：拥有成熟的移动互联网技术，能够为采购人制定手机客户端的舆情监测平台，与PC端数据同步，方便随时掌握互联网信息。</w:t>
            </w:r>
          </w:p>
        </w:tc>
      </w:tr>
      <w:tr>
        <w:tblPrEx>
          <w:tblLayout w:type="fixed"/>
          <w:tblCellMar>
            <w:top w:w="0" w:type="dxa"/>
            <w:left w:w="108" w:type="dxa"/>
            <w:bottom w:w="0" w:type="dxa"/>
            <w:right w:w="108" w:type="dxa"/>
          </w:tblCellMar>
        </w:tblPrEx>
        <w:trPr>
          <w:trHeight w:val="20" w:hRule="atLeast"/>
        </w:trPr>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媒体宣传服务</w:t>
            </w:r>
          </w:p>
        </w:tc>
        <w:tc>
          <w:tcPr>
            <w:tcW w:w="6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50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w:t>
            </w:r>
          </w:p>
        </w:tc>
        <w:tc>
          <w:tcPr>
            <w:tcW w:w="5987" w:type="dxa"/>
            <w:tcBorders>
              <w:top w:val="single" w:color="auto" w:sz="4" w:space="0"/>
              <w:left w:val="single" w:color="auto" w:sz="4" w:space="0"/>
              <w:bottom w:val="single" w:color="auto" w:sz="4" w:space="0"/>
              <w:right w:val="single" w:color="auto" w:sz="4" w:space="0"/>
            </w:tcBorders>
            <w:noWrap w:val="0"/>
            <w:vAlign w:val="bottom"/>
          </w:tcPr>
          <w:p>
            <w:pPr>
              <w:spacing w:line="288" w:lineRule="auto"/>
              <w:textAlignment w:val="baseline"/>
              <w:rPr>
                <w:rFonts w:hint="eastAsia" w:ascii="宋体" w:hAnsi="宋体" w:cs="宋体"/>
                <w:b/>
                <w:color w:val="000000"/>
                <w:kern w:val="0"/>
                <w:szCs w:val="21"/>
              </w:rPr>
            </w:pPr>
            <w:r>
              <w:rPr>
                <w:rFonts w:hint="eastAsia" w:ascii="宋体" w:hAnsi="宋体" w:cs="宋体"/>
                <w:b/>
                <w:color w:val="000000"/>
                <w:kern w:val="0"/>
                <w:szCs w:val="21"/>
              </w:rPr>
              <w:t>媒体宣传服务：</w:t>
            </w:r>
          </w:p>
          <w:p>
            <w:pPr>
              <w:widowControl/>
              <w:spacing w:line="288" w:lineRule="auto"/>
              <w:ind w:firstLine="420" w:firstLineChars="200"/>
              <w:jc w:val="left"/>
              <w:textAlignment w:val="bottom"/>
              <w:rPr>
                <w:rFonts w:hint="eastAsia" w:ascii="宋体" w:hAnsi="宋体" w:cs="宋体"/>
                <w:szCs w:val="21"/>
              </w:rPr>
            </w:pPr>
            <w:r>
              <w:rPr>
                <w:rFonts w:hint="eastAsia" w:ascii="宋体" w:hAnsi="宋体" w:cs="宋体"/>
                <w:color w:val="000000"/>
                <w:kern w:val="0"/>
                <w:szCs w:val="21"/>
              </w:rPr>
              <w:t>结合反走私舆情工作，树立正面的舆论宣传导向，协助采购方在中央级主流媒体刊发广西反走私政策宣传及工作成效。</w:t>
            </w:r>
          </w:p>
        </w:tc>
      </w:tr>
      <w:tr>
        <w:tblPrEx>
          <w:tblLayout w:type="fixed"/>
          <w:tblCellMar>
            <w:top w:w="0" w:type="dxa"/>
            <w:left w:w="108" w:type="dxa"/>
            <w:bottom w:w="0" w:type="dxa"/>
            <w:right w:w="108" w:type="dxa"/>
          </w:tblCellMar>
        </w:tblPrEx>
        <w:trPr>
          <w:trHeight w:val="440" w:hRule="atLeast"/>
        </w:trPr>
        <w:tc>
          <w:tcPr>
            <w:tcW w:w="888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288" w:lineRule="auto"/>
              <w:jc w:val="left"/>
              <w:rPr>
                <w:rFonts w:hint="eastAsia" w:ascii="宋体" w:hAnsi="宋体" w:cs="宋体"/>
                <w:b/>
                <w:szCs w:val="21"/>
              </w:rPr>
            </w:pPr>
            <w:r>
              <w:rPr>
                <w:rFonts w:hint="eastAsia" w:ascii="宋体" w:hAnsi="宋体" w:cs="宋体"/>
                <w:b/>
                <w:szCs w:val="21"/>
              </w:rPr>
              <w:t>二、▲商务要求</w:t>
            </w:r>
          </w:p>
        </w:tc>
      </w:tr>
      <w:tr>
        <w:tblPrEx>
          <w:tblLayout w:type="fixed"/>
          <w:tblCellMar>
            <w:top w:w="0" w:type="dxa"/>
            <w:left w:w="108" w:type="dxa"/>
            <w:bottom w:w="0" w:type="dxa"/>
            <w:right w:w="108" w:type="dxa"/>
          </w:tblCellMar>
        </w:tblPrEx>
        <w:trPr>
          <w:trHeight w:val="20" w:hRule="atLeast"/>
        </w:trPr>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Cs/>
                <w:szCs w:val="21"/>
              </w:rPr>
            </w:pPr>
            <w:r>
              <w:rPr>
                <w:rFonts w:hint="eastAsia" w:ascii="宋体" w:hAnsi="宋体" w:cs="宋体"/>
                <w:bCs/>
                <w:szCs w:val="21"/>
              </w:rPr>
              <w:t>项目</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szCs w:val="21"/>
              </w:rPr>
            </w:pPr>
            <w:r>
              <w:rPr>
                <w:rFonts w:hint="eastAsia" w:ascii="宋体" w:hAnsi="宋体" w:cs="宋体"/>
                <w:szCs w:val="21"/>
              </w:rPr>
              <w:t>要求</w:t>
            </w:r>
          </w:p>
        </w:tc>
      </w:tr>
      <w:tr>
        <w:tblPrEx>
          <w:tblLayout w:type="fixed"/>
          <w:tblCellMar>
            <w:top w:w="0" w:type="dxa"/>
            <w:left w:w="108" w:type="dxa"/>
            <w:bottom w:w="0" w:type="dxa"/>
            <w:right w:w="108" w:type="dxa"/>
          </w:tblCellMar>
        </w:tblPrEx>
        <w:trPr>
          <w:trHeight w:val="20" w:hRule="atLeast"/>
        </w:trPr>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Cs w:val="21"/>
              </w:rPr>
            </w:pPr>
            <w:r>
              <w:rPr>
                <w:rFonts w:hint="eastAsia" w:ascii="宋体" w:hAnsi="宋体" w:cs="宋体"/>
                <w:b/>
                <w:bCs/>
                <w:szCs w:val="21"/>
              </w:rPr>
              <w:t>售后服务</w:t>
            </w:r>
          </w:p>
          <w:p>
            <w:pPr>
              <w:spacing w:line="288" w:lineRule="auto"/>
              <w:jc w:val="center"/>
              <w:rPr>
                <w:rFonts w:hint="eastAsia" w:ascii="宋体" w:hAnsi="宋体" w:cs="宋体"/>
                <w:b/>
                <w:bCs/>
                <w:szCs w:val="21"/>
              </w:rPr>
            </w:pPr>
            <w:r>
              <w:rPr>
                <w:rFonts w:hint="eastAsia" w:ascii="宋体" w:hAnsi="宋体" w:cs="宋体"/>
                <w:b/>
                <w:bCs/>
                <w:szCs w:val="21"/>
              </w:rPr>
              <w:t>及其他要求</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szCs w:val="21"/>
              </w:rPr>
            </w:pPr>
            <w:r>
              <w:rPr>
                <w:rFonts w:hint="eastAsia" w:ascii="宋体" w:hAnsi="宋体" w:cs="宋体"/>
                <w:szCs w:val="21"/>
              </w:rPr>
              <w:t>1、成交人应每月对采购人有关用户至少进行1 次上门回访，对舆情工作进行总结探讨，并根据用户意见完善服务。</w:t>
            </w:r>
          </w:p>
          <w:p>
            <w:pPr>
              <w:spacing w:line="288" w:lineRule="auto"/>
              <w:rPr>
                <w:rFonts w:hint="eastAsia" w:ascii="宋体" w:hAnsi="宋体" w:cs="宋体"/>
                <w:szCs w:val="21"/>
              </w:rPr>
            </w:pPr>
            <w:r>
              <w:rPr>
                <w:rFonts w:hint="eastAsia" w:ascii="宋体" w:hAnsi="宋体" w:cs="宋体"/>
                <w:szCs w:val="21"/>
              </w:rPr>
              <w:t>2、成交人必须针对本项目设立服务团队，要求保证人员基本固定。在合同签订期，成交人必须严格按照既定的条款履行维护义务，必须遵守采购人有关规章制度及安全保密等各项规定。</w:t>
            </w:r>
          </w:p>
          <w:p>
            <w:pPr>
              <w:spacing w:line="288" w:lineRule="auto"/>
              <w:rPr>
                <w:rFonts w:hint="eastAsia" w:ascii="宋体" w:hAnsi="宋体" w:cs="宋体"/>
                <w:szCs w:val="21"/>
              </w:rPr>
            </w:pPr>
            <w:r>
              <w:rPr>
                <w:rFonts w:hint="eastAsia" w:ascii="宋体" w:hAnsi="宋体" w:cs="宋体"/>
                <w:szCs w:val="21"/>
              </w:rPr>
              <w:t>3、为保证售后服务的及时性和专业性，要求成交供应商在本地设有长期办事机构，具备提供广西本地化服务的能力。</w:t>
            </w:r>
          </w:p>
          <w:p>
            <w:pPr>
              <w:spacing w:line="288" w:lineRule="auto"/>
              <w:rPr>
                <w:rFonts w:hint="eastAsia" w:ascii="宋体" w:hAnsi="宋体" w:cs="宋体"/>
                <w:szCs w:val="21"/>
              </w:rPr>
            </w:pPr>
            <w:r>
              <w:rPr>
                <w:rFonts w:hint="eastAsia" w:ascii="宋体" w:hAnsi="宋体" w:cs="宋体"/>
                <w:szCs w:val="21"/>
              </w:rPr>
              <w:t>4、服务响应时间：</w:t>
            </w:r>
          </w:p>
          <w:p>
            <w:pPr>
              <w:spacing w:line="288" w:lineRule="auto"/>
              <w:rPr>
                <w:rFonts w:hint="eastAsia" w:ascii="宋体" w:hAnsi="宋体" w:cs="宋体"/>
                <w:szCs w:val="21"/>
              </w:rPr>
            </w:pPr>
            <w:r>
              <w:rPr>
                <w:rFonts w:hint="eastAsia" w:ascii="宋体" w:hAnsi="宋体" w:cs="宋体"/>
                <w:szCs w:val="21"/>
              </w:rPr>
              <w:t>（1）现场支持：接到采购人处理问题通知后30分钟内到采购人指定现场，并在2小时内处理好常规性问题。</w:t>
            </w:r>
          </w:p>
          <w:p>
            <w:pPr>
              <w:spacing w:line="288" w:lineRule="auto"/>
              <w:rPr>
                <w:rFonts w:hint="eastAsia" w:ascii="宋体" w:hAnsi="宋体" w:cs="宋体"/>
                <w:szCs w:val="21"/>
              </w:rPr>
            </w:pPr>
            <w:r>
              <w:rPr>
                <w:rFonts w:hint="eastAsia" w:ascii="宋体" w:hAnsi="宋体" w:cs="宋体"/>
                <w:szCs w:val="21"/>
              </w:rPr>
              <w:t>（2）远程支持：提供7×24小时电话/QQ/微信等方式支持服务。</w:t>
            </w:r>
          </w:p>
        </w:tc>
      </w:tr>
      <w:tr>
        <w:tblPrEx>
          <w:tblLayout w:type="fixed"/>
          <w:tblCellMar>
            <w:top w:w="0" w:type="dxa"/>
            <w:left w:w="108" w:type="dxa"/>
            <w:bottom w:w="0" w:type="dxa"/>
            <w:right w:w="108" w:type="dxa"/>
          </w:tblCellMar>
        </w:tblPrEx>
        <w:trPr>
          <w:trHeight w:val="20" w:hRule="atLeast"/>
        </w:trPr>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Cs w:val="21"/>
              </w:rPr>
            </w:pPr>
            <w:r>
              <w:rPr>
                <w:rFonts w:hint="eastAsia" w:ascii="宋体" w:hAnsi="宋体" w:cs="宋体"/>
                <w:b/>
                <w:bCs/>
                <w:szCs w:val="21"/>
              </w:rPr>
              <w:t>交付时间及地点</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szCs w:val="21"/>
              </w:rPr>
            </w:pPr>
            <w:r>
              <w:rPr>
                <w:rFonts w:hint="eastAsia" w:ascii="宋体" w:hAnsi="宋体" w:cs="宋体"/>
                <w:szCs w:val="21"/>
              </w:rPr>
              <w:t>交付时间：签订合同后10天内交付，服务时长2年。</w:t>
            </w:r>
          </w:p>
          <w:p>
            <w:pPr>
              <w:spacing w:line="288" w:lineRule="auto"/>
              <w:rPr>
                <w:rFonts w:hint="eastAsia" w:ascii="宋体" w:hAnsi="宋体" w:cs="宋体"/>
                <w:szCs w:val="21"/>
              </w:rPr>
            </w:pPr>
            <w:r>
              <w:rPr>
                <w:rFonts w:hint="eastAsia" w:ascii="宋体" w:hAnsi="宋体" w:cs="宋体"/>
                <w:szCs w:val="21"/>
              </w:rPr>
              <w:t>交付地点：</w:t>
            </w:r>
            <w:r>
              <w:rPr>
                <w:rFonts w:hint="eastAsia" w:ascii="宋体" w:hAnsi="宋体" w:cs="宋体"/>
                <w:szCs w:val="21"/>
                <w:lang w:val="zh-CN"/>
              </w:rPr>
              <w:t>广西壮族自治区南宁市良庆区平乐大道10号中国—东盟经贸中心3号楼9楼</w:t>
            </w:r>
            <w:r>
              <w:rPr>
                <w:rFonts w:hint="eastAsia" w:ascii="宋体" w:hAnsi="宋体" w:cs="宋体"/>
                <w:szCs w:val="21"/>
              </w:rPr>
              <w:t>。</w:t>
            </w:r>
          </w:p>
        </w:tc>
      </w:tr>
      <w:tr>
        <w:tblPrEx>
          <w:tblLayout w:type="fixed"/>
          <w:tblCellMar>
            <w:top w:w="0" w:type="dxa"/>
            <w:left w:w="108" w:type="dxa"/>
            <w:bottom w:w="0" w:type="dxa"/>
            <w:right w:w="108" w:type="dxa"/>
          </w:tblCellMar>
        </w:tblPrEx>
        <w:trPr>
          <w:trHeight w:val="20" w:hRule="atLeast"/>
        </w:trPr>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Cs w:val="21"/>
              </w:rPr>
            </w:pPr>
            <w:r>
              <w:rPr>
                <w:rFonts w:hint="eastAsia" w:ascii="宋体" w:hAnsi="宋体" w:cs="宋体"/>
                <w:b/>
                <w:bCs/>
                <w:szCs w:val="21"/>
              </w:rPr>
              <w:t>付款方式</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szCs w:val="21"/>
              </w:rPr>
            </w:pPr>
            <w:r>
              <w:rPr>
                <w:rFonts w:hint="eastAsia" w:ascii="宋体" w:hAnsi="宋体" w:cs="宋体"/>
                <w:szCs w:val="21"/>
              </w:rPr>
              <w:t>合同签订后10个工作日内，乙方开具35%合同款发票给甲方，甲方收到发票并在财政下拨资金后预付35%合同款给乙方；合同签订期满1年后10个工作日内，乙方开具35%合同款发票给甲方，甲方收到发票并在财政下拨资金后再预付35%合同款给乙方；合同期满并经验收合格，乙方开具30%合同款发票给甲方，甲方收到发票并在财政下拨资金后支付30%合同款给乙方。</w:t>
            </w:r>
          </w:p>
        </w:tc>
      </w:tr>
      <w:tr>
        <w:tblPrEx>
          <w:tblLayout w:type="fixed"/>
          <w:tblCellMar>
            <w:top w:w="0" w:type="dxa"/>
            <w:left w:w="108" w:type="dxa"/>
            <w:bottom w:w="0" w:type="dxa"/>
            <w:right w:w="108" w:type="dxa"/>
          </w:tblCellMar>
        </w:tblPrEx>
        <w:trPr>
          <w:trHeight w:val="20" w:hRule="atLeast"/>
        </w:trPr>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Cs w:val="21"/>
              </w:rPr>
            </w:pPr>
            <w:r>
              <w:rPr>
                <w:rFonts w:hint="eastAsia" w:ascii="宋体" w:hAnsi="宋体" w:cs="宋体"/>
                <w:b/>
                <w:bCs/>
                <w:szCs w:val="21"/>
              </w:rPr>
              <w:t>验收标准</w:t>
            </w:r>
          </w:p>
        </w:tc>
        <w:tc>
          <w:tcPr>
            <w:tcW w:w="7112" w:type="dxa"/>
            <w:gridSpan w:val="3"/>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szCs w:val="21"/>
              </w:rPr>
            </w:pPr>
            <w:r>
              <w:rPr>
                <w:rFonts w:hint="eastAsia" w:ascii="宋体" w:hAnsi="宋体" w:cs="宋体"/>
                <w:szCs w:val="21"/>
              </w:rPr>
              <w:t>按照采购文件及响应文件响应的技术要求的各项指标进行验收，并符合现行国家相关标准、行业标准、地方标准或者其他标准、规范。</w:t>
            </w:r>
          </w:p>
        </w:tc>
      </w:tr>
    </w:tbl>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26</w:t>
                    </w:r>
                    <w: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8CEB78"/>
    <w:multiLevelType w:val="singleLevel"/>
    <w:tmpl w:val="EB8CEB7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C62C9"/>
    <w:rsid w:val="623C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styleId="4">
    <w:name w:val="Body Text"/>
    <w:basedOn w:val="1"/>
    <w:next w:val="5"/>
    <w:unhideWhenUsed/>
    <w:uiPriority w:val="0"/>
    <w:pPr>
      <w:spacing w:after="120"/>
    </w:pPr>
  </w:style>
  <w:style w:type="paragraph" w:styleId="5">
    <w:name w:val="Body Text First Indent 2"/>
    <w:basedOn w:val="6"/>
    <w:qFormat/>
    <w:uiPriority w:val="0"/>
    <w:pPr>
      <w:ind w:firstLine="420" w:firstLineChars="200"/>
    </w:pPr>
  </w:style>
  <w:style w:type="paragraph" w:styleId="6">
    <w:name w:val="Body Text Indent"/>
    <w:basedOn w:val="1"/>
    <w:qFormat/>
    <w:uiPriority w:val="0"/>
    <w:pPr>
      <w:ind w:firstLine="830" w:firstLineChars="352"/>
    </w:pPr>
    <w:rPr>
      <w:rFonts w:ascii="仿宋_GB2312" w:eastAsia="仿宋_GB2312"/>
      <w:kern w:val="0"/>
      <w:sz w:val="32"/>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2022-06-02T08:27:00Z</dcterms:created>
  <dc:creator>Administrator</dc:creator>
  <cp:lastModifiedBy>Administrator</cp:lastModifiedBy>
  <dcterms:modified xsi:type="dcterms:W3CDTF">2022-06-02T08:27:59Z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